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13BA0" w14:textId="55E7FEE5" w:rsidR="00B61966" w:rsidRDefault="00B61966" w:rsidP="00C21BBD">
      <w:pPr>
        <w:pStyle w:val="Address"/>
        <w:rPr>
          <w:rFonts w:cs="Arial"/>
          <w:sz w:val="22"/>
          <w:szCs w:val="22"/>
        </w:rPr>
      </w:pPr>
    </w:p>
    <w:p w14:paraId="3F5B45A1" w14:textId="34CFFA28" w:rsidR="00B61966" w:rsidRPr="00B61966" w:rsidRDefault="00B61966" w:rsidP="00B61966">
      <w:pPr>
        <w:pStyle w:val="NoSpacing"/>
        <w:jc w:val="center"/>
        <w:rPr>
          <w:rFonts w:ascii="Arial" w:hAnsi="Arial" w:cs="Arial"/>
          <w:b/>
          <w:sz w:val="20"/>
          <w:szCs w:val="20"/>
        </w:rPr>
      </w:pPr>
      <w:r w:rsidRPr="00B61966">
        <w:rPr>
          <w:rFonts w:ascii="Arial" w:hAnsi="Arial" w:cs="Arial"/>
          <w:b/>
          <w:sz w:val="20"/>
          <w:szCs w:val="20"/>
        </w:rPr>
        <w:t>Annex 1: Heads of Terms</w:t>
      </w:r>
    </w:p>
    <w:p w14:paraId="29BCA713" w14:textId="456255E0" w:rsidR="00B61966" w:rsidRPr="00B61966" w:rsidRDefault="00B61966" w:rsidP="00B61966">
      <w:pPr>
        <w:pStyle w:val="NoSpacing"/>
        <w:jc w:val="center"/>
        <w:rPr>
          <w:rFonts w:ascii="Arial" w:hAnsi="Arial" w:cs="Arial"/>
          <w:b/>
          <w:sz w:val="20"/>
          <w:szCs w:val="20"/>
        </w:rPr>
      </w:pPr>
    </w:p>
    <w:p w14:paraId="68854146" w14:textId="76821BD1" w:rsidR="00B61966" w:rsidRPr="00B61966" w:rsidRDefault="00B61966" w:rsidP="00B61966">
      <w:pPr>
        <w:pStyle w:val="NoSpacing"/>
        <w:jc w:val="center"/>
        <w:rPr>
          <w:rFonts w:ascii="Arial" w:hAnsi="Arial" w:cs="Arial"/>
          <w:b/>
          <w:sz w:val="20"/>
          <w:szCs w:val="20"/>
        </w:rPr>
      </w:pPr>
      <w:r w:rsidRPr="00B61966">
        <w:rPr>
          <w:rFonts w:ascii="Arial" w:hAnsi="Arial" w:cs="Arial"/>
          <w:b/>
          <w:sz w:val="20"/>
          <w:szCs w:val="20"/>
        </w:rPr>
        <w:t>Collaboration and Option Agreement</w:t>
      </w:r>
    </w:p>
    <w:p w14:paraId="7872161C" w14:textId="4BC733AC" w:rsidR="00B61966" w:rsidRPr="00B61966" w:rsidRDefault="00B61966" w:rsidP="00B61966">
      <w:pPr>
        <w:pStyle w:val="NoSpacing"/>
        <w:jc w:val="center"/>
        <w:rPr>
          <w:rFonts w:ascii="Arial" w:hAnsi="Arial" w:cs="Arial"/>
          <w:b/>
          <w:sz w:val="20"/>
          <w:szCs w:val="20"/>
        </w:rPr>
      </w:pPr>
    </w:p>
    <w:p w14:paraId="0B394D83" w14:textId="305F5AA8" w:rsidR="00B61966" w:rsidRPr="00B61966" w:rsidRDefault="00B61966" w:rsidP="00B61966">
      <w:pPr>
        <w:pStyle w:val="NoSpacing"/>
        <w:rPr>
          <w:rFonts w:ascii="Arial" w:hAnsi="Arial" w:cs="Arial"/>
          <w:sz w:val="20"/>
          <w:szCs w:val="20"/>
        </w:rPr>
      </w:pPr>
    </w:p>
    <w:p w14:paraId="55259E1F" w14:textId="52C6DBAF" w:rsidR="00B61966" w:rsidRPr="00B61966" w:rsidRDefault="00B61966" w:rsidP="00B61966">
      <w:pPr>
        <w:pStyle w:val="NoSpacing"/>
        <w:jc w:val="both"/>
        <w:rPr>
          <w:rFonts w:ascii="Arial" w:hAnsi="Arial" w:cs="Arial"/>
          <w:sz w:val="20"/>
          <w:szCs w:val="20"/>
        </w:rPr>
      </w:pPr>
      <w:r w:rsidRPr="00B61966">
        <w:rPr>
          <w:rFonts w:ascii="Arial" w:hAnsi="Arial" w:cs="Arial"/>
          <w:sz w:val="20"/>
          <w:szCs w:val="20"/>
        </w:rPr>
        <w:t>These heads of terms are intended as a starting point for negotiation of a collaboration and option agreement (the “Agreement”)</w:t>
      </w:r>
      <w:r w:rsidR="005D60E4">
        <w:rPr>
          <w:rFonts w:ascii="Arial" w:hAnsi="Arial" w:cs="Arial"/>
          <w:sz w:val="20"/>
          <w:szCs w:val="20"/>
        </w:rPr>
        <w:t>.</w:t>
      </w:r>
    </w:p>
    <w:p w14:paraId="5B38BDD2" w14:textId="2AD7150E" w:rsidR="00B61966" w:rsidRPr="00B61966" w:rsidRDefault="00B61966" w:rsidP="00B61966">
      <w:pPr>
        <w:pStyle w:val="NoSpacing"/>
        <w:jc w:val="both"/>
        <w:rPr>
          <w:rFonts w:ascii="Arial" w:hAnsi="Arial" w:cs="Arial"/>
          <w:sz w:val="20"/>
          <w:szCs w:val="20"/>
        </w:rPr>
      </w:pPr>
    </w:p>
    <w:p w14:paraId="01C1AD83" w14:textId="7F5C420F" w:rsidR="00B61966" w:rsidRPr="00B61966" w:rsidRDefault="00B61966" w:rsidP="00B61966">
      <w:pPr>
        <w:pStyle w:val="NoSpacing"/>
        <w:jc w:val="both"/>
        <w:rPr>
          <w:rFonts w:ascii="Arial" w:hAnsi="Arial" w:cs="Arial"/>
          <w:sz w:val="20"/>
          <w:szCs w:val="20"/>
        </w:rPr>
      </w:pPr>
      <w:r w:rsidRPr="00B61966">
        <w:rPr>
          <w:rFonts w:ascii="Arial" w:hAnsi="Arial" w:cs="Arial"/>
          <w:sz w:val="20"/>
          <w:szCs w:val="20"/>
        </w:rPr>
        <w:t>This proposed transaction is subject to (</w:t>
      </w:r>
      <w:proofErr w:type="spellStart"/>
      <w:r w:rsidRPr="00B61966">
        <w:rPr>
          <w:rFonts w:ascii="Arial" w:hAnsi="Arial" w:cs="Arial"/>
          <w:sz w:val="20"/>
          <w:szCs w:val="20"/>
        </w:rPr>
        <w:t>i</w:t>
      </w:r>
      <w:proofErr w:type="spellEnd"/>
      <w:r w:rsidRPr="00B61966">
        <w:rPr>
          <w:rFonts w:ascii="Arial" w:hAnsi="Arial" w:cs="Arial"/>
          <w:sz w:val="20"/>
          <w:szCs w:val="20"/>
        </w:rPr>
        <w:t>) the acceptance by both Parties of the principal terms as finally negotiated, and (ii) the negotiation, execution and delivery of a definitive Agreement. This Term Sheet does not constitute a binding contract, and the Parties do not intend to be legally bound, unless and until a definitive Agreement has been executed by both Parties. Unless and until a definitive Agreement has been executed by both Parties, either Party is free to terminate further negotiations at any time, with or without cause.</w:t>
      </w:r>
    </w:p>
    <w:p w14:paraId="184F85EB" w14:textId="4EFC5761" w:rsidR="00B61966" w:rsidRDefault="00B61966" w:rsidP="00C73086">
      <w:pPr>
        <w:pStyle w:val="NoSpacing"/>
        <w:rPr>
          <w:rFonts w:ascii="Arial" w:hAnsi="Arial" w:cs="Arial"/>
          <w:sz w:val="22"/>
          <w:szCs w:val="22"/>
        </w:rPr>
      </w:pPr>
    </w:p>
    <w:tbl>
      <w:tblPr>
        <w:tblW w:w="963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14"/>
        <w:gridCol w:w="7225"/>
      </w:tblGrid>
      <w:tr w:rsidR="00B61966" w:rsidRPr="00646765" w14:paraId="5BB33B5E" w14:textId="77777777" w:rsidTr="00B61966">
        <w:trPr>
          <w:trHeight w:val="900"/>
        </w:trPr>
        <w:tc>
          <w:tcPr>
            <w:tcW w:w="2454" w:type="dxa"/>
            <w:shd w:val="clear" w:color="auto" w:fill="auto"/>
            <w:hideMark/>
          </w:tcPr>
          <w:p w14:paraId="404D9EA8" w14:textId="77777777" w:rsidR="00B61966" w:rsidRPr="00646765" w:rsidRDefault="00B61966" w:rsidP="00B70CDF">
            <w:pPr>
              <w:pStyle w:val="BodyText1"/>
              <w:rPr>
                <w:b/>
              </w:rPr>
            </w:pPr>
            <w:r w:rsidRPr="00646765">
              <w:rPr>
                <w:b/>
              </w:rPr>
              <w:t>Parties</w:t>
            </w:r>
          </w:p>
        </w:tc>
        <w:tc>
          <w:tcPr>
            <w:tcW w:w="7796" w:type="dxa"/>
            <w:shd w:val="clear" w:color="auto" w:fill="auto"/>
            <w:hideMark/>
          </w:tcPr>
          <w:p w14:paraId="3B512B7F" w14:textId="5404555A" w:rsidR="00B61966" w:rsidRDefault="004754D1" w:rsidP="00834613">
            <w:pPr>
              <w:pStyle w:val="BodyText1"/>
              <w:jc w:val="both"/>
            </w:pPr>
            <w:r w:rsidRPr="004754D1">
              <w:rPr>
                <w:highlight w:val="yellow"/>
              </w:rPr>
              <w:t>XXXXX</w:t>
            </w:r>
          </w:p>
          <w:p w14:paraId="4B17660F" w14:textId="3BDF555B" w:rsidR="00634ED4" w:rsidRPr="00646765" w:rsidRDefault="00634ED4" w:rsidP="00834613">
            <w:pPr>
              <w:pStyle w:val="BodyText1"/>
              <w:jc w:val="both"/>
            </w:pPr>
            <w:r>
              <w:t>AstraZeneca UK Limited</w:t>
            </w:r>
            <w:r w:rsidR="00A252DE">
              <w:t xml:space="preserve"> (“AstraZeneca”)</w:t>
            </w:r>
          </w:p>
        </w:tc>
      </w:tr>
      <w:tr w:rsidR="00B61966" w:rsidRPr="00646765" w14:paraId="3C2B4F5F" w14:textId="77777777" w:rsidTr="00B61966">
        <w:trPr>
          <w:trHeight w:val="6539"/>
        </w:trPr>
        <w:tc>
          <w:tcPr>
            <w:tcW w:w="2454" w:type="dxa"/>
            <w:shd w:val="clear" w:color="auto" w:fill="auto"/>
            <w:hideMark/>
          </w:tcPr>
          <w:p w14:paraId="05F970E6" w14:textId="77777777" w:rsidR="00B61966" w:rsidRPr="00646765" w:rsidRDefault="00B61966" w:rsidP="00B70CDF">
            <w:pPr>
              <w:pStyle w:val="BodyText1"/>
              <w:rPr>
                <w:b/>
              </w:rPr>
            </w:pPr>
            <w:r w:rsidRPr="00646765">
              <w:rPr>
                <w:b/>
              </w:rPr>
              <w:t>Scope and aims of the proposed project (the "Project")</w:t>
            </w:r>
          </w:p>
        </w:tc>
        <w:tc>
          <w:tcPr>
            <w:tcW w:w="7796" w:type="dxa"/>
            <w:shd w:val="clear" w:color="auto" w:fill="auto"/>
          </w:tcPr>
          <w:p w14:paraId="6B6927DE" w14:textId="3980FEB0" w:rsidR="00B61966" w:rsidRPr="00834613" w:rsidRDefault="00B61966" w:rsidP="00834613">
            <w:pPr>
              <w:pStyle w:val="BodyText1"/>
              <w:jc w:val="both"/>
            </w:pPr>
          </w:p>
        </w:tc>
      </w:tr>
      <w:tr w:rsidR="00B61966" w:rsidRPr="00646765" w14:paraId="3C801FE8" w14:textId="77777777" w:rsidTr="00B61966">
        <w:trPr>
          <w:trHeight w:val="300"/>
        </w:trPr>
        <w:tc>
          <w:tcPr>
            <w:tcW w:w="2454" w:type="dxa"/>
            <w:shd w:val="clear" w:color="auto" w:fill="auto"/>
            <w:hideMark/>
          </w:tcPr>
          <w:p w14:paraId="6490B7F7" w14:textId="77777777" w:rsidR="00B61966" w:rsidRPr="00D13E87" w:rsidRDefault="00B61966" w:rsidP="00B70CDF">
            <w:pPr>
              <w:pStyle w:val="BodyText1"/>
            </w:pPr>
            <w:r w:rsidRPr="00D13E87">
              <w:rPr>
                <w:b/>
              </w:rPr>
              <w:t>Duration of the Project</w:t>
            </w:r>
          </w:p>
        </w:tc>
        <w:tc>
          <w:tcPr>
            <w:tcW w:w="7796" w:type="dxa"/>
            <w:shd w:val="clear" w:color="auto" w:fill="auto"/>
            <w:hideMark/>
          </w:tcPr>
          <w:p w14:paraId="1EEE7160" w14:textId="7391EAC6" w:rsidR="00B61966" w:rsidRPr="00D13E87" w:rsidRDefault="004754D1" w:rsidP="00B70CDF">
            <w:pPr>
              <w:pStyle w:val="BodyText1"/>
            </w:pPr>
            <w:r w:rsidRPr="004754D1">
              <w:rPr>
                <w:highlight w:val="yellow"/>
              </w:rPr>
              <w:t>X</w:t>
            </w:r>
            <w:r w:rsidR="00721C77" w:rsidRPr="001B5E15">
              <w:t xml:space="preserve"> years</w:t>
            </w:r>
            <w:r>
              <w:t>/months</w:t>
            </w:r>
            <w:r w:rsidR="00721C77" w:rsidRPr="001B5E15">
              <w:t xml:space="preserve">. Expected start date </w:t>
            </w:r>
            <w:r w:rsidRPr="004754D1">
              <w:rPr>
                <w:highlight w:val="yellow"/>
              </w:rPr>
              <w:t>XXXX</w:t>
            </w:r>
          </w:p>
        </w:tc>
      </w:tr>
      <w:tr w:rsidR="00B61966" w:rsidRPr="00646765" w14:paraId="6A83AE33" w14:textId="77777777" w:rsidTr="00B61966">
        <w:trPr>
          <w:trHeight w:val="1686"/>
        </w:trPr>
        <w:tc>
          <w:tcPr>
            <w:tcW w:w="2454" w:type="dxa"/>
            <w:shd w:val="clear" w:color="auto" w:fill="auto"/>
            <w:hideMark/>
          </w:tcPr>
          <w:p w14:paraId="1A54CB52" w14:textId="77777777" w:rsidR="00B61966" w:rsidRPr="00646765" w:rsidRDefault="00B61966" w:rsidP="00B70CDF">
            <w:pPr>
              <w:pStyle w:val="BodyText1"/>
              <w:rPr>
                <w:b/>
              </w:rPr>
            </w:pPr>
            <w:r w:rsidRPr="00646765">
              <w:rPr>
                <w:b/>
              </w:rPr>
              <w:t>Project Management Arrangements</w:t>
            </w:r>
          </w:p>
        </w:tc>
        <w:tc>
          <w:tcPr>
            <w:tcW w:w="7796" w:type="dxa"/>
            <w:shd w:val="clear" w:color="auto" w:fill="auto"/>
            <w:hideMark/>
          </w:tcPr>
          <w:p w14:paraId="4208B991" w14:textId="2EFB6379" w:rsidR="00B61966" w:rsidRDefault="00B61966" w:rsidP="00834613">
            <w:pPr>
              <w:pStyle w:val="BodyText1"/>
              <w:jc w:val="both"/>
            </w:pPr>
          </w:p>
          <w:p w14:paraId="63C3D307" w14:textId="315EDA18" w:rsidR="00B61966" w:rsidRPr="00646765" w:rsidRDefault="001B5E15" w:rsidP="00B70CDF">
            <w:pPr>
              <w:pStyle w:val="BodyText1"/>
            </w:pPr>
            <w:r w:rsidRPr="001B5E15">
              <w:t xml:space="preserve">Regular communication between </w:t>
            </w:r>
            <w:r w:rsidR="005C4F5F">
              <w:t>nominated</w:t>
            </w:r>
            <w:r w:rsidRPr="001B5E15">
              <w:t xml:space="preserve"> PI and the </w:t>
            </w:r>
            <w:r w:rsidR="00326D29">
              <w:t>In</w:t>
            </w:r>
            <w:r w:rsidR="00655F3B">
              <w:t xml:space="preserve">dustrial </w:t>
            </w:r>
            <w:r w:rsidR="00C459FC">
              <w:t>Supervisor</w:t>
            </w:r>
            <w:r w:rsidRPr="001B5E15">
              <w:t xml:space="preserve"> will occur when and as needed. Project management will also be facilitated by regular formal meetings to discuss progress and forward planning; these meetings are expected to take place on a monthly basis</w:t>
            </w:r>
          </w:p>
        </w:tc>
      </w:tr>
      <w:tr w:rsidR="00B61966" w:rsidRPr="00646765" w14:paraId="758AC753" w14:textId="77777777" w:rsidTr="00B61966">
        <w:trPr>
          <w:trHeight w:val="600"/>
        </w:trPr>
        <w:tc>
          <w:tcPr>
            <w:tcW w:w="2454" w:type="dxa"/>
            <w:shd w:val="clear" w:color="auto" w:fill="auto"/>
            <w:hideMark/>
          </w:tcPr>
          <w:p w14:paraId="58BEC1A1" w14:textId="77777777" w:rsidR="00B61966" w:rsidRPr="00646765" w:rsidRDefault="00B61966" w:rsidP="00B70CDF">
            <w:pPr>
              <w:pStyle w:val="BodyText1"/>
              <w:rPr>
                <w:b/>
              </w:rPr>
            </w:pPr>
            <w:r w:rsidRPr="00646765">
              <w:rPr>
                <w:b/>
              </w:rPr>
              <w:t>Financial/resource contributions</w:t>
            </w:r>
          </w:p>
        </w:tc>
        <w:tc>
          <w:tcPr>
            <w:tcW w:w="7796" w:type="dxa"/>
            <w:shd w:val="clear" w:color="auto" w:fill="auto"/>
            <w:hideMark/>
          </w:tcPr>
          <w:p w14:paraId="291714EE" w14:textId="685B700E" w:rsidR="00B61966" w:rsidRPr="00B3076B" w:rsidRDefault="00F03938" w:rsidP="00B70CDF">
            <w:pPr>
              <w:pStyle w:val="BodyText1"/>
              <w:rPr>
                <w:i/>
                <w:iCs/>
              </w:rPr>
            </w:pPr>
            <w:r w:rsidRPr="00B3076B">
              <w:rPr>
                <w:i/>
                <w:iCs/>
              </w:rPr>
              <w:t>As outlined the application</w:t>
            </w:r>
          </w:p>
        </w:tc>
      </w:tr>
      <w:tr w:rsidR="00B61966" w:rsidRPr="00646765" w14:paraId="4642995F" w14:textId="77777777" w:rsidTr="00B61966">
        <w:trPr>
          <w:trHeight w:val="600"/>
        </w:trPr>
        <w:tc>
          <w:tcPr>
            <w:tcW w:w="2454" w:type="dxa"/>
            <w:shd w:val="clear" w:color="auto" w:fill="auto"/>
            <w:hideMark/>
          </w:tcPr>
          <w:p w14:paraId="680DA553" w14:textId="77777777" w:rsidR="00B61966" w:rsidRPr="00646765" w:rsidRDefault="00B61966" w:rsidP="00B70CDF">
            <w:pPr>
              <w:pStyle w:val="BodyText1"/>
              <w:rPr>
                <w:b/>
              </w:rPr>
            </w:pPr>
            <w:r w:rsidRPr="00646765">
              <w:rPr>
                <w:b/>
              </w:rPr>
              <w:t>Key responsibilities of the Parties</w:t>
            </w:r>
          </w:p>
        </w:tc>
        <w:tc>
          <w:tcPr>
            <w:tcW w:w="7796" w:type="dxa"/>
            <w:shd w:val="clear" w:color="auto" w:fill="auto"/>
            <w:hideMark/>
          </w:tcPr>
          <w:p w14:paraId="6E8C49D3" w14:textId="3817BA34" w:rsidR="00B61966" w:rsidRDefault="00C725E5" w:rsidP="00834613">
            <w:pPr>
              <w:pStyle w:val="BodyText1"/>
              <w:jc w:val="both"/>
            </w:pPr>
            <w:r w:rsidRPr="00A900C9">
              <w:rPr>
                <w:i/>
                <w:iCs/>
              </w:rPr>
              <w:t>As outlined in the</w:t>
            </w:r>
            <w:r w:rsidR="00A900C9" w:rsidRPr="00A900C9">
              <w:rPr>
                <w:i/>
                <w:iCs/>
              </w:rPr>
              <w:t xml:space="preserve"> application</w:t>
            </w:r>
            <w:r w:rsidRPr="00C725E5">
              <w:t>. In summary</w:t>
            </w:r>
            <w:r>
              <w:t>:</w:t>
            </w:r>
          </w:p>
          <w:p w14:paraId="2160DAB6" w14:textId="3969E0BE" w:rsidR="00B61966" w:rsidRDefault="00B61966" w:rsidP="00834613">
            <w:pPr>
              <w:pStyle w:val="BodyText1"/>
              <w:jc w:val="both"/>
            </w:pPr>
          </w:p>
          <w:p w14:paraId="1BB33D47" w14:textId="77777777" w:rsidR="00B61966" w:rsidRPr="00646765" w:rsidRDefault="00B61966" w:rsidP="00B70CDF">
            <w:pPr>
              <w:pStyle w:val="BodyText1"/>
            </w:pPr>
          </w:p>
        </w:tc>
      </w:tr>
      <w:tr w:rsidR="00B61966" w:rsidRPr="00646765" w14:paraId="481E9BE8" w14:textId="77777777" w:rsidTr="00B61966">
        <w:trPr>
          <w:trHeight w:val="978"/>
        </w:trPr>
        <w:tc>
          <w:tcPr>
            <w:tcW w:w="2454" w:type="dxa"/>
            <w:shd w:val="clear" w:color="auto" w:fill="auto"/>
            <w:hideMark/>
          </w:tcPr>
          <w:p w14:paraId="04029D6B" w14:textId="77777777" w:rsidR="00B61966" w:rsidRPr="00646765" w:rsidRDefault="00B61966" w:rsidP="00B70CDF">
            <w:pPr>
              <w:pStyle w:val="BodyText1"/>
              <w:rPr>
                <w:b/>
              </w:rPr>
            </w:pPr>
            <w:r w:rsidRPr="00646765">
              <w:rPr>
                <w:b/>
              </w:rPr>
              <w:lastRenderedPageBreak/>
              <w:t>IP management and distribution arrangements</w:t>
            </w:r>
          </w:p>
        </w:tc>
        <w:tc>
          <w:tcPr>
            <w:tcW w:w="7796" w:type="dxa"/>
            <w:shd w:val="clear" w:color="auto" w:fill="auto"/>
            <w:hideMark/>
          </w:tcPr>
          <w:p w14:paraId="4C928D52" w14:textId="3164D552" w:rsidR="00BD27DC" w:rsidRDefault="00BD27DC" w:rsidP="00BD27DC">
            <w:pPr>
              <w:pStyle w:val="BodyText1"/>
              <w:jc w:val="both"/>
            </w:pPr>
            <w:r>
              <w:t xml:space="preserve">All Background Intellectual Property (“BIP”) shall remain the property of the Party introducing it to the Project. The Parties agree that any improvements or modifications to a Party’s BIP arising from the Project which are not severable from that BIP will be deemed to form part of that Party’s BIP.     </w:t>
            </w:r>
          </w:p>
          <w:p w14:paraId="2D4455F6" w14:textId="74A2F444" w:rsidR="00BD27DC" w:rsidRDefault="00BD27DC" w:rsidP="00BD27DC">
            <w:pPr>
              <w:pStyle w:val="BodyText1"/>
              <w:jc w:val="both"/>
            </w:pPr>
            <w:r>
              <w:t xml:space="preserve">AstraZeneca grant the </w:t>
            </w:r>
            <w:r w:rsidR="00AF7F00">
              <w:t>Participant</w:t>
            </w:r>
            <w:r>
              <w:t xml:space="preserve"> a royalty-free, non-exclusive licence for the duration of the Project to use any relevant </w:t>
            </w:r>
            <w:r w:rsidR="002025B3">
              <w:t>[</w:t>
            </w:r>
            <w:r w:rsidR="00935FA9">
              <w:t>Materials</w:t>
            </w:r>
            <w:r>
              <w:t xml:space="preserve"> and other</w:t>
            </w:r>
            <w:r w:rsidR="002025B3">
              <w:t>]</w:t>
            </w:r>
            <w:r>
              <w:t xml:space="preserve"> BIP made available by AstraZeneca</w:t>
            </w:r>
            <w:r w:rsidR="00604AB1">
              <w:t>,</w:t>
            </w:r>
            <w:r>
              <w:t xml:space="preserve"> as the case may be, for the purposes of carrying out the Project. </w:t>
            </w:r>
          </w:p>
          <w:p w14:paraId="31A289AC" w14:textId="77AAAD2C" w:rsidR="00BD27DC" w:rsidRDefault="00BD27DC" w:rsidP="00BD27DC">
            <w:pPr>
              <w:pStyle w:val="BodyText1"/>
              <w:jc w:val="both"/>
            </w:pPr>
            <w:r>
              <w:t xml:space="preserve">Ownership of all other results and the IP in the results (“Project IP”), will vest in and be owned by </w:t>
            </w:r>
            <w:r w:rsidR="00AF7F00">
              <w:t>Participant</w:t>
            </w:r>
            <w:r>
              <w:t xml:space="preserve">. </w:t>
            </w:r>
            <w:r w:rsidR="00AF7F00">
              <w:t>Participant</w:t>
            </w:r>
            <w:r>
              <w:t xml:space="preserve"> may take steps to maintain and protect the Project IP, including filing and prosecuting patent applications for any of the Project IP. </w:t>
            </w:r>
            <w:r w:rsidR="00AF7F00">
              <w:t>Participant</w:t>
            </w:r>
            <w:r>
              <w:t xml:space="preserve"> will grant to AstraZeneca a non-exclusive, indefinite, fully paid-up, royalty-free licence to use their </w:t>
            </w:r>
            <w:r w:rsidR="00F6521C">
              <w:t>Project IP</w:t>
            </w:r>
            <w:r>
              <w:t xml:space="preserve"> for internal research and development, including all drug development activities. Such licence to be sub-licensable to</w:t>
            </w:r>
            <w:r w:rsidR="00F6521C">
              <w:t xml:space="preserve"> </w:t>
            </w:r>
            <w:r w:rsidR="00E53CC8">
              <w:t>A</w:t>
            </w:r>
            <w:r w:rsidR="00F6521C">
              <w:t xml:space="preserve">ffiliates of AstraZeneca and </w:t>
            </w:r>
            <w:r>
              <w:t xml:space="preserve">parties working on behalf of or in direct collaboration with AstraZeneca but only for the purposes of AstraZeneca’s internal research and development. For the avoidance of doubt, the granting of the aforementioned licenses does not confer any rights to or capacity to AstraZeneca to prevent exploitation of these </w:t>
            </w:r>
            <w:r w:rsidR="006066EA">
              <w:t>results/</w:t>
            </w:r>
            <w:r>
              <w:t xml:space="preserve">data by </w:t>
            </w:r>
            <w:r w:rsidR="00AF7F00">
              <w:t>Participant</w:t>
            </w:r>
            <w:r>
              <w:t>.</w:t>
            </w:r>
          </w:p>
          <w:p w14:paraId="43885404" w14:textId="632ACB9D" w:rsidR="00BD27DC" w:rsidRDefault="00BD27DC" w:rsidP="00BD27DC">
            <w:pPr>
              <w:pStyle w:val="BodyText1"/>
              <w:jc w:val="both"/>
            </w:pPr>
            <w:r>
              <w:t xml:space="preserve">Upon conclusion of the Project, </w:t>
            </w:r>
            <w:r w:rsidR="00AF7F00">
              <w:t>Participant</w:t>
            </w:r>
            <w:r>
              <w:t xml:space="preserve"> shall grant AstraZeneca a 3-month option to negotiate on commercial terms an exclusive or non-exclusive licence to Project IP for all purposes.</w:t>
            </w:r>
          </w:p>
          <w:p w14:paraId="600BF0B2" w14:textId="49794AE3" w:rsidR="00BD27DC" w:rsidRDefault="00BD27DC" w:rsidP="00BD27DC">
            <w:pPr>
              <w:pStyle w:val="BodyText1"/>
              <w:jc w:val="both"/>
            </w:pPr>
            <w:r>
              <w:t xml:space="preserve">Upon exercise of the option, </w:t>
            </w:r>
            <w:r w:rsidR="00AF7F00">
              <w:t>Participant</w:t>
            </w:r>
            <w:r>
              <w:t xml:space="preserve"> and AstraZeneca, shall negotiate in good faith commercial terms for up to 6 months or other such period as the parties may agree in writing.</w:t>
            </w:r>
          </w:p>
          <w:p w14:paraId="189285AA" w14:textId="60A8B0C6" w:rsidR="00B61966" w:rsidRPr="00646765" w:rsidRDefault="006066EA" w:rsidP="00BD27DC">
            <w:pPr>
              <w:pStyle w:val="BodyText1"/>
              <w:jc w:val="both"/>
            </w:pPr>
            <w:r>
              <w:t>[</w:t>
            </w:r>
            <w:r w:rsidR="00BD27DC" w:rsidRPr="006066EA">
              <w:rPr>
                <w:i/>
                <w:iCs/>
              </w:rPr>
              <w:t xml:space="preserve">Despite the grant of any licence, and subject to the publication provisions, </w:t>
            </w:r>
            <w:r w:rsidR="00AF7F00" w:rsidRPr="006066EA">
              <w:rPr>
                <w:i/>
                <w:iCs/>
              </w:rPr>
              <w:t>Participant</w:t>
            </w:r>
            <w:r w:rsidR="00BD27DC" w:rsidRPr="006066EA">
              <w:rPr>
                <w:i/>
                <w:iCs/>
              </w:rPr>
              <w:t xml:space="preserve"> and their employees and students will have the irrevocable, royalty-free right to use the results for the purposes of academic teaching and academic research</w:t>
            </w:r>
            <w:r w:rsidR="00BD27DC">
              <w:t>.</w:t>
            </w:r>
            <w:r>
              <w:t>]</w:t>
            </w:r>
          </w:p>
        </w:tc>
      </w:tr>
      <w:tr w:rsidR="00B61966" w:rsidRPr="00646765" w14:paraId="0D426181" w14:textId="77777777" w:rsidTr="00B61966">
        <w:trPr>
          <w:trHeight w:val="2700"/>
        </w:trPr>
        <w:tc>
          <w:tcPr>
            <w:tcW w:w="2454" w:type="dxa"/>
            <w:shd w:val="clear" w:color="auto" w:fill="auto"/>
            <w:hideMark/>
          </w:tcPr>
          <w:p w14:paraId="594FE241" w14:textId="77777777" w:rsidR="00B61966" w:rsidRPr="00646765" w:rsidRDefault="00B61966" w:rsidP="00B70CDF">
            <w:pPr>
              <w:pStyle w:val="BodyText1"/>
              <w:rPr>
                <w:b/>
              </w:rPr>
            </w:pPr>
            <w:r w:rsidRPr="00646765">
              <w:rPr>
                <w:b/>
              </w:rPr>
              <w:t>Publications and announcements</w:t>
            </w:r>
          </w:p>
        </w:tc>
        <w:tc>
          <w:tcPr>
            <w:tcW w:w="7796" w:type="dxa"/>
            <w:shd w:val="clear" w:color="auto" w:fill="auto"/>
            <w:hideMark/>
          </w:tcPr>
          <w:p w14:paraId="6C800653" w14:textId="7792A0E2" w:rsidR="00D128AA" w:rsidRDefault="00AF7F00" w:rsidP="00D128AA">
            <w:pPr>
              <w:pStyle w:val="BodyText1"/>
              <w:jc w:val="both"/>
            </w:pPr>
            <w:r>
              <w:rPr>
                <w:u w:val="single"/>
              </w:rPr>
              <w:t>Participant</w:t>
            </w:r>
            <w:r w:rsidR="00C80BCA" w:rsidRPr="00E53CC8">
              <w:rPr>
                <w:u w:val="single"/>
              </w:rPr>
              <w:t>’s Right to Publish</w:t>
            </w:r>
            <w:r w:rsidR="00C80BCA">
              <w:t xml:space="preserve">:  </w:t>
            </w:r>
            <w:r>
              <w:t>Participant</w:t>
            </w:r>
            <w:r w:rsidR="00D128AA">
              <w:t xml:space="preserve"> shall have the right to publish the results provided that due acknowledgment is made for the intellectual contribution made by AstraZeneca, as the case may be, in accordance with standard scientific practice. Proposals for publication should be sent to AstraZeneca for review 45 days prior to submission. Upon request, </w:t>
            </w:r>
            <w:r>
              <w:t>Participant</w:t>
            </w:r>
            <w:r w:rsidR="00D128AA">
              <w:t xml:space="preserve"> will delay publication for up to 3 months to allow for the filing of a patent application for any invention disclosed in such publication.</w:t>
            </w:r>
          </w:p>
          <w:p w14:paraId="06E4A312" w14:textId="5475EBDF" w:rsidR="00B61966" w:rsidRPr="00646765" w:rsidRDefault="00D128AA" w:rsidP="00D128AA">
            <w:pPr>
              <w:pStyle w:val="BodyText1"/>
              <w:jc w:val="both"/>
            </w:pPr>
            <w:r w:rsidRPr="00E53CC8">
              <w:rPr>
                <w:u w:val="single"/>
              </w:rPr>
              <w:t>AstraZeneca</w:t>
            </w:r>
            <w:r w:rsidR="00E53CC8" w:rsidRPr="00E53CC8">
              <w:rPr>
                <w:u w:val="single"/>
              </w:rPr>
              <w:t>’s</w:t>
            </w:r>
            <w:r w:rsidRPr="00E53CC8">
              <w:rPr>
                <w:u w:val="single"/>
              </w:rPr>
              <w:t xml:space="preserve"> </w:t>
            </w:r>
            <w:r w:rsidR="00E53CC8" w:rsidRPr="00E53CC8">
              <w:rPr>
                <w:u w:val="single"/>
              </w:rPr>
              <w:t>R</w:t>
            </w:r>
            <w:r w:rsidRPr="00E53CC8">
              <w:rPr>
                <w:u w:val="single"/>
              </w:rPr>
              <w:t xml:space="preserve">ight to </w:t>
            </w:r>
            <w:r w:rsidR="00E53CC8" w:rsidRPr="00E53CC8">
              <w:rPr>
                <w:u w:val="single"/>
              </w:rPr>
              <w:t>P</w:t>
            </w:r>
            <w:r w:rsidRPr="00E53CC8">
              <w:rPr>
                <w:u w:val="single"/>
              </w:rPr>
              <w:t>ublish</w:t>
            </w:r>
            <w:r>
              <w:t xml:space="preserve">: </w:t>
            </w:r>
            <w:r w:rsidR="00AF7F00">
              <w:t>Participant</w:t>
            </w:r>
            <w:r>
              <w:t xml:space="preserve"> agrees that, if either </w:t>
            </w:r>
            <w:r w:rsidR="00AF7F00">
              <w:t>Participant</w:t>
            </w:r>
            <w:r>
              <w:t xml:space="preserve"> or the PI publishes the results, AstraZeneca (and their Affiliates) are hereby granted an irrevocable, perpetual, royalty-free license to make and distribute copies of such publication under any copyright privileges that </w:t>
            </w:r>
            <w:r w:rsidR="00AF7F00">
              <w:t>Participant</w:t>
            </w:r>
            <w:r>
              <w:t xml:space="preserve"> or the PI may have. If </w:t>
            </w:r>
            <w:r w:rsidR="00AF7F00">
              <w:t>Participant</w:t>
            </w:r>
            <w:r w:rsidR="004970E0">
              <w:t xml:space="preserve"> </w:t>
            </w:r>
            <w:r>
              <w:t xml:space="preserve">do not publish within 12 months of conclusion of the project AstraZeneca (and their Affiliates) also shall have the right to publish independently the results provided that due acknowledgement is made for the intellectual contribution made by </w:t>
            </w:r>
            <w:r w:rsidR="00AF7F00">
              <w:t>Participant</w:t>
            </w:r>
            <w:r w:rsidR="008420FA">
              <w:t xml:space="preserve"> and/or the PI</w:t>
            </w:r>
            <w:r>
              <w:t xml:space="preserve"> in accordance with standard scientific practice.</w:t>
            </w:r>
          </w:p>
          <w:p w14:paraId="0C50A7CF" w14:textId="77777777" w:rsidR="00B61966" w:rsidRPr="00646765" w:rsidRDefault="00B61966" w:rsidP="00B70CDF">
            <w:pPr>
              <w:pStyle w:val="BodyText1"/>
            </w:pPr>
          </w:p>
        </w:tc>
      </w:tr>
      <w:tr w:rsidR="00B61966" w:rsidRPr="00646765" w14:paraId="5A4A4019" w14:textId="77777777" w:rsidTr="00B61966">
        <w:trPr>
          <w:trHeight w:val="600"/>
        </w:trPr>
        <w:tc>
          <w:tcPr>
            <w:tcW w:w="2454" w:type="dxa"/>
            <w:shd w:val="clear" w:color="auto" w:fill="auto"/>
            <w:hideMark/>
          </w:tcPr>
          <w:p w14:paraId="46A35945" w14:textId="77777777" w:rsidR="00B61966" w:rsidRPr="00646765" w:rsidRDefault="00B61966" w:rsidP="00B70CDF">
            <w:pPr>
              <w:pStyle w:val="BodyText1"/>
              <w:rPr>
                <w:b/>
              </w:rPr>
            </w:pPr>
            <w:r w:rsidRPr="00646765">
              <w:rPr>
                <w:b/>
              </w:rPr>
              <w:t>Withdrawal/change of control</w:t>
            </w:r>
          </w:p>
        </w:tc>
        <w:tc>
          <w:tcPr>
            <w:tcW w:w="7796" w:type="dxa"/>
            <w:shd w:val="clear" w:color="auto" w:fill="auto"/>
            <w:hideMark/>
          </w:tcPr>
          <w:p w14:paraId="03A489E1" w14:textId="1DF3D929" w:rsidR="00B61966" w:rsidRPr="00646765" w:rsidRDefault="00226756" w:rsidP="00B70CDF">
            <w:pPr>
              <w:pStyle w:val="BodyText1"/>
            </w:pPr>
            <w:r w:rsidRPr="00226756">
              <w:t>Assignment only upon written agreement of the Parties</w:t>
            </w:r>
            <w:r>
              <w:t xml:space="preserve"> (</w:t>
            </w:r>
            <w:r w:rsidR="000637E2">
              <w:t>except that AstraZeneca may assign to Affiliates</w:t>
            </w:r>
            <w:r w:rsidR="000C7D51">
              <w:t>)</w:t>
            </w:r>
            <w:r w:rsidRPr="00226756">
              <w:t>.</w:t>
            </w:r>
          </w:p>
        </w:tc>
      </w:tr>
      <w:tr w:rsidR="00B61966" w:rsidRPr="00646765" w14:paraId="77E106B2" w14:textId="77777777" w:rsidTr="00B61966">
        <w:trPr>
          <w:trHeight w:val="1200"/>
        </w:trPr>
        <w:tc>
          <w:tcPr>
            <w:tcW w:w="2454" w:type="dxa"/>
            <w:shd w:val="clear" w:color="auto" w:fill="auto"/>
          </w:tcPr>
          <w:p w14:paraId="6D89E43C" w14:textId="77777777" w:rsidR="00B61966" w:rsidRPr="00646765" w:rsidRDefault="00B61966" w:rsidP="00B70CDF">
            <w:pPr>
              <w:pStyle w:val="BodyText1"/>
              <w:rPr>
                <w:b/>
              </w:rPr>
            </w:pPr>
            <w:r w:rsidRPr="00646765">
              <w:rPr>
                <w:b/>
              </w:rPr>
              <w:t>Confidentiality:</w:t>
            </w:r>
          </w:p>
        </w:tc>
        <w:tc>
          <w:tcPr>
            <w:tcW w:w="7796" w:type="dxa"/>
            <w:shd w:val="clear" w:color="auto" w:fill="auto"/>
          </w:tcPr>
          <w:p w14:paraId="1BD28FBD" w14:textId="52AE38DD" w:rsidR="00B61966" w:rsidRPr="00646765" w:rsidRDefault="008C30B5" w:rsidP="00834613">
            <w:pPr>
              <w:pStyle w:val="BodyText1"/>
              <w:jc w:val="both"/>
            </w:pPr>
            <w:r>
              <w:t xml:space="preserve">Mutual </w:t>
            </w:r>
            <w:r w:rsidRPr="008C30B5">
              <w:t>confidentiality provisions will survive termination or expiry of the Agreement for a period of 5 years, subject to licences, confidentiality notices and standard exceptions</w:t>
            </w:r>
            <w:r w:rsidR="00D16F82">
              <w:t>.</w:t>
            </w:r>
          </w:p>
        </w:tc>
      </w:tr>
      <w:tr w:rsidR="00B61966" w:rsidRPr="00646765" w14:paraId="410605DB" w14:textId="77777777" w:rsidTr="00B61966">
        <w:trPr>
          <w:trHeight w:val="843"/>
        </w:trPr>
        <w:tc>
          <w:tcPr>
            <w:tcW w:w="2454" w:type="dxa"/>
            <w:shd w:val="clear" w:color="auto" w:fill="auto"/>
            <w:hideMark/>
          </w:tcPr>
          <w:p w14:paraId="0ECACDFB" w14:textId="77777777" w:rsidR="00B61966" w:rsidRPr="00646765" w:rsidRDefault="00B61966" w:rsidP="00B70CDF">
            <w:pPr>
              <w:pStyle w:val="BodyText1"/>
              <w:rPr>
                <w:b/>
              </w:rPr>
            </w:pPr>
            <w:r w:rsidRPr="00646765">
              <w:rPr>
                <w:b/>
              </w:rPr>
              <w:lastRenderedPageBreak/>
              <w:t>Termination</w:t>
            </w:r>
          </w:p>
        </w:tc>
        <w:tc>
          <w:tcPr>
            <w:tcW w:w="7796" w:type="dxa"/>
            <w:shd w:val="clear" w:color="auto" w:fill="auto"/>
            <w:hideMark/>
          </w:tcPr>
          <w:p w14:paraId="154CDEA4" w14:textId="599438C9" w:rsidR="00B61966" w:rsidRPr="00646765" w:rsidRDefault="00D16F82" w:rsidP="00834613">
            <w:pPr>
              <w:pStyle w:val="BodyText1"/>
              <w:jc w:val="both"/>
            </w:pPr>
            <w:r w:rsidRPr="00D16F82">
              <w:t>If the Parties agree to discontinue the Project then the Agreement shall terminate. Termination shall be without prejudice to the rights/duties accrued prior to termination</w:t>
            </w:r>
            <w:r>
              <w:t>.</w:t>
            </w:r>
          </w:p>
        </w:tc>
      </w:tr>
      <w:tr w:rsidR="00B61966" w:rsidRPr="00646765" w14:paraId="0AB37FFE" w14:textId="77777777" w:rsidTr="00B61966">
        <w:trPr>
          <w:trHeight w:val="643"/>
        </w:trPr>
        <w:tc>
          <w:tcPr>
            <w:tcW w:w="2454" w:type="dxa"/>
            <w:shd w:val="clear" w:color="auto" w:fill="auto"/>
          </w:tcPr>
          <w:p w14:paraId="1F1B78F4" w14:textId="77777777" w:rsidR="00B61966" w:rsidRPr="00646765" w:rsidRDefault="00B61966" w:rsidP="00B70CDF">
            <w:pPr>
              <w:pStyle w:val="BodyText1"/>
              <w:rPr>
                <w:b/>
              </w:rPr>
            </w:pPr>
            <w:r w:rsidRPr="00646765">
              <w:rPr>
                <w:b/>
              </w:rPr>
              <w:t>Warranties:</w:t>
            </w:r>
          </w:p>
        </w:tc>
        <w:tc>
          <w:tcPr>
            <w:tcW w:w="7796" w:type="dxa"/>
            <w:shd w:val="clear" w:color="auto" w:fill="auto"/>
          </w:tcPr>
          <w:p w14:paraId="7BFBECAC" w14:textId="71665728" w:rsidR="00B61966" w:rsidRPr="00646765" w:rsidRDefault="00595A2E" w:rsidP="00834613">
            <w:pPr>
              <w:pStyle w:val="BodyText1"/>
              <w:jc w:val="both"/>
            </w:pPr>
            <w:r w:rsidRPr="00595A2E">
              <w:t xml:space="preserve">All results and </w:t>
            </w:r>
            <w:r>
              <w:t>BIP</w:t>
            </w:r>
            <w:r w:rsidRPr="00595A2E">
              <w:t xml:space="preserve"> are provided “as is” and without any guarantees or warranties</w:t>
            </w:r>
            <w:r>
              <w:t>.</w:t>
            </w:r>
          </w:p>
        </w:tc>
      </w:tr>
      <w:tr w:rsidR="00B61966" w:rsidRPr="00646765" w14:paraId="38636BA1" w14:textId="77777777" w:rsidTr="00B61966">
        <w:trPr>
          <w:trHeight w:val="823"/>
        </w:trPr>
        <w:tc>
          <w:tcPr>
            <w:tcW w:w="2454" w:type="dxa"/>
            <w:shd w:val="clear" w:color="auto" w:fill="auto"/>
          </w:tcPr>
          <w:p w14:paraId="2341F058" w14:textId="77777777" w:rsidR="00B61966" w:rsidRPr="00646765" w:rsidRDefault="00B61966" w:rsidP="00B70CDF">
            <w:pPr>
              <w:pStyle w:val="BodyText1"/>
              <w:rPr>
                <w:b/>
              </w:rPr>
            </w:pPr>
            <w:r w:rsidRPr="00646765">
              <w:rPr>
                <w:b/>
              </w:rPr>
              <w:t>Governing Law and Jurisdiction:</w:t>
            </w:r>
          </w:p>
        </w:tc>
        <w:tc>
          <w:tcPr>
            <w:tcW w:w="7796" w:type="dxa"/>
            <w:shd w:val="clear" w:color="auto" w:fill="auto"/>
          </w:tcPr>
          <w:p w14:paraId="33AE14DF" w14:textId="167EEF30" w:rsidR="00B61966" w:rsidRPr="00646765" w:rsidRDefault="000F7A98" w:rsidP="00834613">
            <w:pPr>
              <w:pStyle w:val="BodyText1"/>
              <w:jc w:val="both"/>
            </w:pPr>
            <w:r w:rsidRPr="000F7A98">
              <w:t>The Agreement shall be governed by and construed in accordance with the laws of England and the Parties agree to submit to the exclusive jurisdiction of the English Courts.</w:t>
            </w:r>
          </w:p>
        </w:tc>
      </w:tr>
    </w:tbl>
    <w:p w14:paraId="41B0F499" w14:textId="77777777" w:rsidR="00B61966" w:rsidRPr="00C73086" w:rsidRDefault="00B61966" w:rsidP="00C73086">
      <w:pPr>
        <w:pStyle w:val="NoSpacing"/>
        <w:rPr>
          <w:rFonts w:ascii="Arial" w:hAnsi="Arial" w:cs="Arial"/>
          <w:sz w:val="22"/>
          <w:szCs w:val="22"/>
        </w:rPr>
      </w:pPr>
    </w:p>
    <w:sectPr w:rsidR="00B61966" w:rsidRPr="00C73086" w:rsidSect="00B61966">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86"/>
    <w:rsid w:val="000637E2"/>
    <w:rsid w:val="0007563E"/>
    <w:rsid w:val="00087722"/>
    <w:rsid w:val="000938DC"/>
    <w:rsid w:val="000C7D51"/>
    <w:rsid w:val="000D1AF5"/>
    <w:rsid w:val="000F2A2A"/>
    <w:rsid w:val="000F7A98"/>
    <w:rsid w:val="001125AD"/>
    <w:rsid w:val="00131634"/>
    <w:rsid w:val="001609A1"/>
    <w:rsid w:val="001A3E5F"/>
    <w:rsid w:val="001B5E15"/>
    <w:rsid w:val="001E0AA1"/>
    <w:rsid w:val="002025B3"/>
    <w:rsid w:val="0021402F"/>
    <w:rsid w:val="00226756"/>
    <w:rsid w:val="002E6ECD"/>
    <w:rsid w:val="002F172A"/>
    <w:rsid w:val="002F569F"/>
    <w:rsid w:val="00326D29"/>
    <w:rsid w:val="00343576"/>
    <w:rsid w:val="00374FCB"/>
    <w:rsid w:val="003B4D5D"/>
    <w:rsid w:val="003D1A94"/>
    <w:rsid w:val="003E6A2A"/>
    <w:rsid w:val="0044458A"/>
    <w:rsid w:val="00447C89"/>
    <w:rsid w:val="00464A98"/>
    <w:rsid w:val="004754D1"/>
    <w:rsid w:val="004970E0"/>
    <w:rsid w:val="004C4592"/>
    <w:rsid w:val="004D4630"/>
    <w:rsid w:val="0050707B"/>
    <w:rsid w:val="00533781"/>
    <w:rsid w:val="00545524"/>
    <w:rsid w:val="00595A2E"/>
    <w:rsid w:val="005C1F37"/>
    <w:rsid w:val="005C4F5F"/>
    <w:rsid w:val="005D60E4"/>
    <w:rsid w:val="005E6BED"/>
    <w:rsid w:val="00604AB1"/>
    <w:rsid w:val="006066EA"/>
    <w:rsid w:val="00623379"/>
    <w:rsid w:val="00634ED4"/>
    <w:rsid w:val="00655F3B"/>
    <w:rsid w:val="00657DAE"/>
    <w:rsid w:val="006A14B1"/>
    <w:rsid w:val="006A3DC4"/>
    <w:rsid w:val="00721C77"/>
    <w:rsid w:val="00746FEC"/>
    <w:rsid w:val="00753D66"/>
    <w:rsid w:val="0079686A"/>
    <w:rsid w:val="007A6FF9"/>
    <w:rsid w:val="007D52BA"/>
    <w:rsid w:val="00834613"/>
    <w:rsid w:val="008420FA"/>
    <w:rsid w:val="008B71D2"/>
    <w:rsid w:val="008C2745"/>
    <w:rsid w:val="008C30B5"/>
    <w:rsid w:val="008F7D74"/>
    <w:rsid w:val="009279E6"/>
    <w:rsid w:val="00935FA9"/>
    <w:rsid w:val="00977FB4"/>
    <w:rsid w:val="00A12B35"/>
    <w:rsid w:val="00A252DE"/>
    <w:rsid w:val="00A75EB0"/>
    <w:rsid w:val="00A900C9"/>
    <w:rsid w:val="00AF7F00"/>
    <w:rsid w:val="00B3076B"/>
    <w:rsid w:val="00B4473C"/>
    <w:rsid w:val="00B46776"/>
    <w:rsid w:val="00B602CE"/>
    <w:rsid w:val="00B61966"/>
    <w:rsid w:val="00B734F3"/>
    <w:rsid w:val="00B86D2B"/>
    <w:rsid w:val="00B8708D"/>
    <w:rsid w:val="00BD27DC"/>
    <w:rsid w:val="00C20562"/>
    <w:rsid w:val="00C21BBD"/>
    <w:rsid w:val="00C2618B"/>
    <w:rsid w:val="00C459FC"/>
    <w:rsid w:val="00C70349"/>
    <w:rsid w:val="00C725E5"/>
    <w:rsid w:val="00C73086"/>
    <w:rsid w:val="00C80BCA"/>
    <w:rsid w:val="00CE0550"/>
    <w:rsid w:val="00D128AA"/>
    <w:rsid w:val="00D16F82"/>
    <w:rsid w:val="00D64286"/>
    <w:rsid w:val="00DA6DC0"/>
    <w:rsid w:val="00DD34BF"/>
    <w:rsid w:val="00DF6487"/>
    <w:rsid w:val="00E434B1"/>
    <w:rsid w:val="00E53CC8"/>
    <w:rsid w:val="00E57F81"/>
    <w:rsid w:val="00E63DE6"/>
    <w:rsid w:val="00E86D78"/>
    <w:rsid w:val="00ED3C55"/>
    <w:rsid w:val="00EF058C"/>
    <w:rsid w:val="00F03938"/>
    <w:rsid w:val="00F532A8"/>
    <w:rsid w:val="00F6521C"/>
    <w:rsid w:val="00F75377"/>
    <w:rsid w:val="00F756D7"/>
    <w:rsid w:val="00FB4431"/>
    <w:rsid w:val="00FD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2A69"/>
  <w14:defaultImageDpi w14:val="32767"/>
  <w15:chartTrackingRefBased/>
  <w15:docId w15:val="{52A94D40-BEB7-CC40-B50D-FBCA8CD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086"/>
  </w:style>
  <w:style w:type="character" w:styleId="Hyperlink">
    <w:name w:val="Hyperlink"/>
    <w:basedOn w:val="DefaultParagraphFont"/>
    <w:uiPriority w:val="99"/>
    <w:unhideWhenUsed/>
    <w:rsid w:val="00B61966"/>
    <w:rPr>
      <w:color w:val="0563C1" w:themeColor="hyperlink"/>
      <w:u w:val="single"/>
    </w:rPr>
  </w:style>
  <w:style w:type="character" w:styleId="UnresolvedMention">
    <w:name w:val="Unresolved Mention"/>
    <w:basedOn w:val="DefaultParagraphFont"/>
    <w:uiPriority w:val="99"/>
    <w:rsid w:val="00B61966"/>
    <w:rPr>
      <w:color w:val="605E5C"/>
      <w:shd w:val="clear" w:color="auto" w:fill="E1DFDD"/>
    </w:rPr>
  </w:style>
  <w:style w:type="paragraph" w:customStyle="1" w:styleId="BodyText1">
    <w:name w:val="Body Text1"/>
    <w:basedOn w:val="Normal"/>
    <w:rsid w:val="00B61966"/>
    <w:pPr>
      <w:spacing w:after="200"/>
    </w:pPr>
    <w:rPr>
      <w:rFonts w:ascii="Arial" w:eastAsia="Times New Roman" w:hAnsi="Arial" w:cs="Arial"/>
      <w:sz w:val="20"/>
      <w:szCs w:val="20"/>
    </w:rPr>
  </w:style>
  <w:style w:type="paragraph" w:customStyle="1" w:styleId="Address">
    <w:name w:val="Address"/>
    <w:basedOn w:val="Normal"/>
    <w:rsid w:val="00B46776"/>
    <w:pPr>
      <w:tabs>
        <w:tab w:val="left" w:pos="2041"/>
        <w:tab w:val="left" w:pos="4082"/>
        <w:tab w:val="left" w:pos="6123"/>
      </w:tabs>
      <w:suppressAutoHyphens/>
      <w:autoSpaceDE w:val="0"/>
      <w:autoSpaceDN w:val="0"/>
      <w:adjustRightInd w:val="0"/>
      <w:spacing w:after="100" w:line="200" w:lineRule="atLeast"/>
      <w:textAlignment w:val="center"/>
    </w:pPr>
    <w:rPr>
      <w:rFonts w:ascii="Arial" w:eastAsia="Times New Roman" w:hAnsi="Arial" w:cs="Helvetica 55 Roman"/>
      <w:b/>
      <w:bCs/>
      <w:color w:val="3F1E68"/>
      <w:sz w:val="16"/>
      <w:szCs w:val="16"/>
    </w:rPr>
  </w:style>
  <w:style w:type="character" w:customStyle="1" w:styleId="AstraZeneca">
    <w:name w:val="AstraZeneca"/>
    <w:rsid w:val="00B46776"/>
    <w:rPr>
      <w:rFonts w:ascii="Arial" w:hAnsi="Arial" w:cs="Helvetica 55 Roman"/>
      <w:b/>
      <w:bCs/>
      <w:color w:val="8B034F"/>
      <w:sz w:val="16"/>
      <w:szCs w:val="16"/>
      <w:lang w:val="en-GB"/>
    </w:rPr>
  </w:style>
  <w:style w:type="paragraph" w:styleId="BalloonText">
    <w:name w:val="Balloon Text"/>
    <w:basedOn w:val="Normal"/>
    <w:link w:val="BalloonTextChar"/>
    <w:uiPriority w:val="99"/>
    <w:semiHidden/>
    <w:unhideWhenUsed/>
    <w:rsid w:val="00FD0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A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D34BF"/>
    <w:rPr>
      <w:sz w:val="16"/>
      <w:szCs w:val="16"/>
    </w:rPr>
  </w:style>
  <w:style w:type="paragraph" w:styleId="CommentText">
    <w:name w:val="annotation text"/>
    <w:basedOn w:val="Normal"/>
    <w:link w:val="CommentTextChar"/>
    <w:uiPriority w:val="99"/>
    <w:semiHidden/>
    <w:unhideWhenUsed/>
    <w:rsid w:val="00DD34BF"/>
    <w:rPr>
      <w:sz w:val="20"/>
      <w:szCs w:val="20"/>
    </w:rPr>
  </w:style>
  <w:style w:type="character" w:customStyle="1" w:styleId="CommentTextChar">
    <w:name w:val="Comment Text Char"/>
    <w:basedOn w:val="DefaultParagraphFont"/>
    <w:link w:val="CommentText"/>
    <w:uiPriority w:val="99"/>
    <w:semiHidden/>
    <w:rsid w:val="00DD34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D34BF"/>
    <w:rPr>
      <w:b/>
      <w:bCs/>
    </w:rPr>
  </w:style>
  <w:style w:type="character" w:customStyle="1" w:styleId="CommentSubjectChar">
    <w:name w:val="Comment Subject Char"/>
    <w:basedOn w:val="CommentTextChar"/>
    <w:link w:val="CommentSubject"/>
    <w:uiPriority w:val="99"/>
    <w:semiHidden/>
    <w:rsid w:val="00DD34B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409063">
      <w:bodyDiv w:val="1"/>
      <w:marLeft w:val="0"/>
      <w:marRight w:val="0"/>
      <w:marTop w:val="0"/>
      <w:marBottom w:val="0"/>
      <w:divBdr>
        <w:top w:val="none" w:sz="0" w:space="0" w:color="auto"/>
        <w:left w:val="none" w:sz="0" w:space="0" w:color="auto"/>
        <w:bottom w:val="none" w:sz="0" w:space="0" w:color="auto"/>
        <w:right w:val="none" w:sz="0" w:space="0" w:color="auto"/>
      </w:divBdr>
    </w:div>
    <w:div w:id="10025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72E4D389ED474D81B193B6CF1302FD" ma:contentTypeVersion="13" ma:contentTypeDescription="Create a new document." ma:contentTypeScope="" ma:versionID="22ad40cdd51f37f80cedd8933c3aa008">
  <xsd:schema xmlns:xsd="http://www.w3.org/2001/XMLSchema" xmlns:xs="http://www.w3.org/2001/XMLSchema" xmlns:p="http://schemas.microsoft.com/office/2006/metadata/properties" xmlns:ns3="44a56295-c29e-4898-8136-a54736c65b82" xmlns:ns4="88844444-8d03-424b-ad76-af37b36a34d9" xmlns:ns5="7c8c095c-57cf-4c39-9cdb-2bba5f7307eb" targetNamespace="http://schemas.microsoft.com/office/2006/metadata/properties" ma:root="true" ma:fieldsID="3f28eeb67d9b67b6743cb90dd408ee58" ns3:_="" ns4:_="" ns5:_="">
    <xsd:import namespace="44a56295-c29e-4898-8136-a54736c65b82"/>
    <xsd:import namespace="88844444-8d03-424b-ad76-af37b36a34d9"/>
    <xsd:import namespace="7c8c095c-57cf-4c39-9cdb-2bba5f7307eb"/>
    <xsd:element name="properties">
      <xsd:complexType>
        <xsd:sequence>
          <xsd:element name="documentManagement">
            <xsd:complexType>
              <xsd:all>
                <xsd:element ref="ns3:Descriptions" minOccurs="0"/>
                <xsd:element ref="ns3:Keyword" minOccurs="0"/>
                <xsd:element ref="ns4:SharingHintHash"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5:MediaServiceOCR" minOccurs="0"/>
                <xsd:element ref="ns5:MediaServiceLocation"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44444-8d03-424b-ad76-af37b36a34d9" elementFormDefault="qualified">
    <xsd:import namespace="http://schemas.microsoft.com/office/2006/documentManagement/types"/>
    <xsd:import namespace="http://schemas.microsoft.com/office/infopath/2007/PartnerControls"/>
    <xsd:element name="SharingHintHash" ma:index="10"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c095c-57cf-4c39-9cdb-2bba5f7307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5077-078E-4A97-A2CB-1D9CE4598596}">
  <ds:schemaRefs>
    <ds:schemaRef ds:uri="Microsoft.SharePoint.Taxonomy.ContentTypeSync"/>
  </ds:schemaRefs>
</ds:datastoreItem>
</file>

<file path=customXml/itemProps2.xml><?xml version="1.0" encoding="utf-8"?>
<ds:datastoreItem xmlns:ds="http://schemas.openxmlformats.org/officeDocument/2006/customXml" ds:itemID="{CD9010C1-23A4-4ED6-9F21-36ECEF0C541F}">
  <ds:schemaRefs>
    <ds:schemaRef ds:uri="http://schemas.microsoft.com/sharepoint/v3/contenttype/forms"/>
  </ds:schemaRefs>
</ds:datastoreItem>
</file>

<file path=customXml/itemProps3.xml><?xml version="1.0" encoding="utf-8"?>
<ds:datastoreItem xmlns:ds="http://schemas.openxmlformats.org/officeDocument/2006/customXml" ds:itemID="{1118818E-38E2-4AB6-8CDE-BFDA50CD5CFD}">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C647A525-25F4-48EF-9304-3F8D995D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88844444-8d03-424b-ad76-af37b36a34d9"/>
    <ds:schemaRef ds:uri="7c8c095c-57cf-4c39-9cdb-2bba5f730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Grant</dc:creator>
  <cp:keywords/>
  <dc:description/>
  <cp:lastModifiedBy>Nourian, Saghar</cp:lastModifiedBy>
  <cp:revision>2</cp:revision>
  <cp:lastPrinted>2019-06-17T12:25:00Z</cp:lastPrinted>
  <dcterms:created xsi:type="dcterms:W3CDTF">2023-12-07T14:25:00Z</dcterms:created>
  <dcterms:modified xsi:type="dcterms:W3CDTF">2023-12-07T14:25:00Z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0x010100A472E4D389ED474D81B193B6CF1302FD</vt:lpwstr>
  </property>
</Properties>
</file>